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湖北省中医院伦理委员会</w:t>
      </w:r>
    </w:p>
    <w:p>
      <w:pPr>
        <w:adjustRightInd w:val="0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Ethics Committee of</w:t>
      </w:r>
      <w:r>
        <w:rPr>
          <w:rFonts w:hint="eastAsia"/>
          <w:color w:val="000000"/>
          <w:kern w:val="0"/>
          <w:szCs w:val="21"/>
        </w:rPr>
        <w:t xml:space="preserve"> Hubei </w:t>
      </w:r>
      <w:r>
        <w:rPr>
          <w:color w:val="000000"/>
          <w:kern w:val="0"/>
          <w:szCs w:val="21"/>
        </w:rPr>
        <w:t xml:space="preserve">Province Hospital </w:t>
      </w:r>
      <w:r>
        <w:rPr>
          <w:rFonts w:hint="eastAsia"/>
          <w:color w:val="000000"/>
          <w:kern w:val="0"/>
          <w:szCs w:val="21"/>
        </w:rPr>
        <w:t xml:space="preserve">of Traditional </w:t>
      </w:r>
      <w:r>
        <w:rPr>
          <w:color w:val="000000"/>
          <w:kern w:val="0"/>
          <w:szCs w:val="21"/>
        </w:rPr>
        <w:t>Chinese Medicine</w:t>
      </w:r>
    </w:p>
    <w:p>
      <w:pPr>
        <w:rPr>
          <w:rFonts w:eastAsia="黑体"/>
          <w:szCs w:val="21"/>
        </w:rPr>
      </w:pPr>
    </w:p>
    <w:p>
      <w:pPr>
        <w:jc w:val="center"/>
        <w:rPr>
          <w:rFonts w:ascii="黑体" w:hAnsi="宋体" w:eastAsia="黑体"/>
          <w:color w:val="auto"/>
          <w:sz w:val="28"/>
        </w:rPr>
      </w:pPr>
      <w:r>
        <w:rPr>
          <w:rFonts w:hint="eastAsia" w:ascii="黑体" w:hAnsi="宋体" w:eastAsia="黑体"/>
          <w:color w:val="auto"/>
          <w:sz w:val="28"/>
          <w:lang w:val="en-US" w:eastAsia="zh-CN"/>
        </w:rPr>
        <w:t>可疑且非预期严重不良反应</w:t>
      </w:r>
      <w:r>
        <w:rPr>
          <w:rFonts w:hint="eastAsia" w:ascii="黑体" w:hAnsi="宋体" w:eastAsia="黑体"/>
          <w:color w:val="auto"/>
          <w:sz w:val="28"/>
        </w:rPr>
        <w:t>报告</w:t>
      </w:r>
    </w:p>
    <w:p>
      <w:pPr>
        <w:jc w:val="center"/>
        <w:rPr>
          <w:sz w:val="24"/>
          <w:szCs w:val="28"/>
        </w:rPr>
      </w:pPr>
      <w:r>
        <w:rPr>
          <w:rFonts w:hint="eastAsia"/>
          <w:color w:val="auto"/>
          <w:szCs w:val="21"/>
          <w:highlight w:val="none"/>
        </w:rPr>
        <w:t>Suspicious and Unexpected Serious Adverse Reactions</w:t>
      </w:r>
      <w:r>
        <w:rPr>
          <w:rFonts w:hint="eastAsia"/>
          <w:color w:val="auto"/>
          <w:szCs w:val="21"/>
          <w:highlight w:val="none"/>
          <w:lang w:eastAsia="zh-CN"/>
        </w:rPr>
        <w:t>（</w:t>
      </w:r>
      <w:r>
        <w:rPr>
          <w:rFonts w:hint="eastAsia"/>
          <w:color w:val="auto"/>
          <w:szCs w:val="21"/>
          <w:highlight w:val="none"/>
          <w:lang w:val="en-US" w:eastAsia="zh-CN"/>
        </w:rPr>
        <w:t>SUSAR</w:t>
      </w:r>
      <w:r>
        <w:rPr>
          <w:rFonts w:hint="eastAsia"/>
          <w:color w:val="auto"/>
          <w:szCs w:val="21"/>
          <w:highlight w:val="none"/>
          <w:lang w:eastAsia="zh-CN"/>
        </w:rPr>
        <w:t>）</w:t>
      </w:r>
      <w:r>
        <w:rPr>
          <w:color w:val="auto"/>
          <w:sz w:val="24"/>
          <w:szCs w:val="28"/>
        </w:rPr>
        <w:t xml:space="preserve"> R</w:t>
      </w:r>
      <w:r>
        <w:rPr>
          <w:rFonts w:hint="eastAsia"/>
          <w:sz w:val="24"/>
          <w:szCs w:val="28"/>
        </w:rPr>
        <w:t xml:space="preserve">eport </w:t>
      </w:r>
      <w:r>
        <w:rPr>
          <w:sz w:val="24"/>
          <w:szCs w:val="28"/>
        </w:rPr>
        <w:t>F</w:t>
      </w:r>
      <w:r>
        <w:rPr>
          <w:rFonts w:hint="eastAsia"/>
          <w:sz w:val="24"/>
          <w:szCs w:val="28"/>
        </w:rPr>
        <w:t>orm</w:t>
      </w:r>
    </w:p>
    <w:p>
      <w:pPr>
        <w:jc w:val="center"/>
        <w:rPr>
          <w:rFonts w:ascii="黑体" w:hAnsi="宋体" w:eastAsia="黑体"/>
          <w:strike/>
          <w:dstrike w:val="0"/>
          <w:szCs w:val="21"/>
        </w:rPr>
      </w:pP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415"/>
        <w:gridCol w:w="945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报告类型：□首次报告，□随访报告，□总结报告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试验相关资料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研究药物名称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研究药物分类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□中药，□化学药品，□预防用生物制品，□治疗用生物制品，□其它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临床试验批准文号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研究分类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□Ⅰ期，□Ⅱ期，□Ⅲ期，□Ⅳ期，□生物等效性试验，□其它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 w:eastAsia="黑体"/>
              </w:rPr>
              <w:t>申办单位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申办单位名称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申办单位地址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传真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 w:eastAsia="黑体"/>
              </w:rPr>
              <w:t>研究单位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研究机构名称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研究机构地址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传真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 w:eastAsia="黑体"/>
              </w:rPr>
              <w:t>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姓名拼音首字母缩写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受试者（药物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随机）编码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出生日期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□男，□女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体重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身高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 w:eastAsia="黑体"/>
                <w:lang w:val="en-US" w:eastAsia="zh-CN"/>
              </w:rPr>
              <w:t>SUSAR</w:t>
            </w:r>
            <w:r>
              <w:rPr>
                <w:rFonts w:hint="eastAsia" w:eastAsia="黑体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  <w:r>
              <w:rPr>
                <w:rFonts w:hint="eastAsia"/>
                <w:sz w:val="18"/>
              </w:rPr>
              <w:t>□住院，□延长住院时间，□致畸，□危及生命，□永久或严重致残，□其他重要医学事件，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□死亡，死亡时间：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 w:eastAsia="黑体"/>
                <w:lang w:val="en-US" w:eastAsia="zh-CN"/>
              </w:rPr>
              <w:t>SUSAR</w:t>
            </w:r>
            <w:r>
              <w:rPr>
                <w:rFonts w:hint="eastAsia" w:eastAsia="黑体"/>
              </w:rPr>
              <w:t>名称及描述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SUSAR</w:t>
            </w: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（如可能，请作出诊断，并使用专业术语）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SUSAR</w:t>
            </w:r>
            <w:r>
              <w:rPr>
                <w:rFonts w:hint="eastAsia"/>
                <w:sz w:val="18"/>
              </w:rPr>
              <w:t>发生时间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SUSAR</w:t>
            </w:r>
            <w:r>
              <w:rPr>
                <w:rFonts w:hint="eastAsia"/>
                <w:sz w:val="18"/>
              </w:rPr>
              <w:t>获知时间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/>
    <w:p/>
    <w:p/>
    <w:p>
      <w:pPr>
        <w:jc w:val="right"/>
        <w:rPr>
          <w:rFonts w:hint="eastAsia"/>
        </w:rPr>
      </w:pPr>
    </w:p>
    <w:p>
      <w:pPr>
        <w:jc w:val="right"/>
      </w:pPr>
      <w:bookmarkStart w:id="0" w:name="_GoBack"/>
      <w:bookmarkEnd w:id="0"/>
      <w:r>
        <w:rPr>
          <w:rFonts w:hint="eastAsia"/>
        </w:rPr>
        <w:t>续表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3"/>
        <w:gridCol w:w="682"/>
        <w:gridCol w:w="105"/>
        <w:gridCol w:w="530"/>
        <w:gridCol w:w="104"/>
        <w:gridCol w:w="311"/>
        <w:gridCol w:w="245"/>
        <w:gridCol w:w="866"/>
        <w:gridCol w:w="359"/>
        <w:gridCol w:w="70"/>
        <w:gridCol w:w="992"/>
        <w:gridCol w:w="93"/>
        <w:gridCol w:w="210"/>
        <w:gridCol w:w="1118"/>
        <w:gridCol w:w="203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SUSAR</w:t>
            </w:r>
            <w:r>
              <w:rPr>
                <w:rFonts w:hint="eastAsia"/>
                <w:sz w:val="18"/>
              </w:rPr>
              <w:t>描述（包括受试者相关病史，</w:t>
            </w:r>
            <w:r>
              <w:rPr>
                <w:rFonts w:hint="eastAsia"/>
                <w:sz w:val="18"/>
                <w:lang w:val="en-US" w:eastAsia="zh-CN"/>
              </w:rPr>
              <w:t>SUSAR</w:t>
            </w:r>
            <w:r>
              <w:rPr>
                <w:rFonts w:hint="eastAsia"/>
                <w:sz w:val="18"/>
              </w:rPr>
              <w:t>的症状</w:t>
            </w:r>
            <w:r>
              <w:rPr>
                <w:sz w:val="18"/>
              </w:rPr>
              <w:t xml:space="preserve"> / </w:t>
            </w:r>
            <w:r>
              <w:rPr>
                <w:rFonts w:hint="eastAsia"/>
                <w:sz w:val="18"/>
              </w:rPr>
              <w:t>体征、治疗、发生及转归过程</w:t>
            </w:r>
            <w:r>
              <w:rPr>
                <w:sz w:val="18"/>
              </w:rPr>
              <w:t xml:space="preserve"> / </w:t>
            </w:r>
            <w:r>
              <w:rPr>
                <w:rFonts w:hint="eastAsia"/>
                <w:sz w:val="18"/>
              </w:rPr>
              <w:t>结果和</w:t>
            </w:r>
            <w:r>
              <w:rPr>
                <w:rFonts w:hint="eastAsia"/>
                <w:sz w:val="18"/>
                <w:lang w:val="en-US" w:eastAsia="zh-CN"/>
              </w:rPr>
              <w:t>SUSAR</w:t>
            </w:r>
            <w:r>
              <w:rPr>
                <w:rFonts w:hint="eastAsia"/>
                <w:sz w:val="18"/>
              </w:rPr>
              <w:t>可能原因分析，如有更多信息可另附页记录）：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 w:eastAsia="黑体"/>
              </w:rPr>
              <w:t>相关实验室</w:t>
            </w:r>
            <w:r>
              <w:rPr>
                <w:rFonts w:eastAsia="黑体"/>
              </w:rPr>
              <w:t>/</w:t>
            </w:r>
            <w:r>
              <w:rPr>
                <w:rFonts w:hint="eastAsia" w:eastAsia="黑体"/>
              </w:rPr>
              <w:t>其他检查结果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实验室/检查项目</w:t>
            </w:r>
          </w:p>
        </w:tc>
        <w:tc>
          <w:tcPr>
            <w:tcW w:w="1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结果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单位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检查日期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对结果的说明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 w:eastAsia="黑体"/>
              </w:rPr>
              <w:t>研究用药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药物名称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剂量/日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给药途径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首次用药日期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用药中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停药日期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：如为设盲试验，是否紧急破盲：□是，□否→请在上述“药物名称”栏填写药物编号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：如方案规定需调整研究用药剂量，请说明：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 w:eastAsia="黑体"/>
              </w:rPr>
              <w:t>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药物名称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剂量/日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给药途径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首次用药日期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用药中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停药日期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用药原因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 w:eastAsia="黑体"/>
              </w:rPr>
              <w:t>可能与</w:t>
            </w:r>
            <w:r>
              <w:rPr>
                <w:rFonts w:hint="eastAsia"/>
                <w:sz w:val="18"/>
                <w:lang w:val="en-US" w:eastAsia="zh-CN"/>
              </w:rPr>
              <w:t>SUSAR</w:t>
            </w:r>
            <w:r>
              <w:rPr>
                <w:rFonts w:hint="eastAsia" w:eastAsia="黑体"/>
              </w:rPr>
              <w:t>有关的药物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可能与</w:t>
            </w:r>
            <w:r>
              <w:rPr>
                <w:rFonts w:hint="eastAsia"/>
                <w:sz w:val="18"/>
                <w:lang w:val="en-US" w:eastAsia="zh-CN"/>
              </w:rPr>
              <w:t>SUSAR</w:t>
            </w:r>
            <w:r>
              <w:rPr>
                <w:rFonts w:hint="eastAsia"/>
                <w:sz w:val="18"/>
              </w:rPr>
              <w:t>有关的药物名称</w:t>
            </w:r>
          </w:p>
        </w:tc>
        <w:tc>
          <w:tcPr>
            <w:tcW w:w="57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该药物属于本临床试验的</w:t>
            </w:r>
          </w:p>
        </w:tc>
        <w:tc>
          <w:tcPr>
            <w:tcW w:w="57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□研究用药（如果非盲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破盲：□试验药物，□对照药物），□伴随用药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该药物适应证</w:t>
            </w:r>
          </w:p>
        </w:tc>
        <w:tc>
          <w:tcPr>
            <w:tcW w:w="57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首次用药至</w:t>
            </w:r>
            <w:r>
              <w:rPr>
                <w:rFonts w:hint="eastAsia"/>
                <w:sz w:val="18"/>
                <w:lang w:val="en-US" w:eastAsia="zh-CN"/>
              </w:rPr>
              <w:t>SUSAR</w:t>
            </w:r>
            <w:r>
              <w:rPr>
                <w:rFonts w:hint="eastAsia"/>
                <w:sz w:val="18"/>
              </w:rPr>
              <w:t>发生的时间</w:t>
            </w:r>
          </w:p>
        </w:tc>
        <w:tc>
          <w:tcPr>
            <w:tcW w:w="57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40" w:firstLineChars="300"/>
              <w:rPr>
                <w:sz w:val="18"/>
              </w:rPr>
            </w:pPr>
            <w:r>
              <w:rPr>
                <w:rFonts w:hint="eastAsia"/>
                <w:sz w:val="18"/>
              </w:rPr>
              <w:t>天（如果能够精确计算：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时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末次用药至</w:t>
            </w:r>
            <w:r>
              <w:rPr>
                <w:rFonts w:hint="eastAsia"/>
                <w:sz w:val="18"/>
                <w:lang w:val="en-US" w:eastAsia="zh-CN"/>
              </w:rPr>
              <w:t>SUSAR</w:t>
            </w:r>
            <w:r>
              <w:rPr>
                <w:rFonts w:hint="eastAsia"/>
                <w:sz w:val="18"/>
              </w:rPr>
              <w:t>发生的时间</w:t>
            </w:r>
          </w:p>
        </w:tc>
        <w:tc>
          <w:tcPr>
            <w:tcW w:w="57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40" w:firstLineChars="300"/>
              <w:rPr>
                <w:sz w:val="18"/>
              </w:rPr>
            </w:pPr>
            <w:r>
              <w:rPr>
                <w:rFonts w:hint="eastAsia"/>
                <w:sz w:val="18"/>
              </w:rPr>
              <w:t>天（如果能够精确计算：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时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SUSAR</w:t>
            </w:r>
            <w:r>
              <w:rPr>
                <w:rFonts w:hint="eastAsia" w:eastAsia="黑体"/>
              </w:rPr>
              <w:t>与研究用药的关系（因果关系）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□无关，□可能无关，□可能有关，□很可能有关，□有关，□现有信息无法判断</w:t>
            </w:r>
          </w:p>
        </w:tc>
      </w:tr>
    </w:tbl>
    <w:p/>
    <w:p/>
    <w:p>
      <w:pPr>
        <w:jc w:val="right"/>
      </w:pPr>
      <w:r>
        <w:rPr>
          <w:rFonts w:hint="eastAsia"/>
        </w:rPr>
        <w:t>续表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6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 w:eastAsia="黑体"/>
              </w:rPr>
              <w:t>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□无，□调整研究用药剂量，□暂停研究用药，□停用研究用药，□停用伴随用药，□增加新的治疗药物，□应用非药物治疗，□延长住院时间，□修改方案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知情同意书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 w:eastAsia="黑体"/>
              </w:rPr>
              <w:t>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□完全痊愈，□症状改善，□症状恶化，□痊愈，有后遗症，□症状无变化，□死亡</w:t>
            </w:r>
          </w:p>
          <w:p>
            <w:pPr>
              <w:rPr>
                <w:rFonts w:eastAsia="黑体"/>
              </w:rPr>
            </w:pPr>
            <w:r>
              <w:rPr>
                <w:rFonts w:hint="eastAsia"/>
                <w:sz w:val="18"/>
              </w:rPr>
              <w:t>尸检：□否，□是（请附尸检报告）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 w:eastAsia="黑体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报告人签字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本次报告日期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43940"/>
      <w:docPartObj>
        <w:docPartGallery w:val="autotext"/>
      </w:docPartObj>
    </w:sdtPr>
    <w:sdtContent>
      <w:p>
        <w:pPr>
          <w:pStyle w:val="3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 xml:space="preserve">第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 共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>
          <w:rPr>
            <w:szCs w:val="21"/>
          </w:rPr>
          <w:fldChar w:fldCharType="separate"/>
        </w:r>
        <w:r>
          <w:rPr>
            <w:szCs w:val="21"/>
          </w:rPr>
          <w:t>3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  <w:color w:val="auto"/>
        <w:lang w:val="en-US" w:eastAsia="zh-CN"/>
      </w:rPr>
      <w:t>可疑且非预期严重不良反应</w:t>
    </w:r>
    <w:r>
      <w:rPr>
        <w:rFonts w:hint="eastAsia"/>
      </w:rPr>
      <w:t xml:space="preserve">报告        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   </w:t>
    </w:r>
    <w:r>
      <w:rPr>
        <w:szCs w:val="21"/>
      </w:rPr>
      <w:t>AF/</w:t>
    </w:r>
    <w:r>
      <w:rPr>
        <w:rFonts w:hint="eastAsia"/>
        <w:szCs w:val="21"/>
      </w:rPr>
      <w:t>SQ</w:t>
    </w:r>
    <w:r>
      <w:rPr>
        <w:szCs w:val="21"/>
      </w:rPr>
      <w:t>-0</w:t>
    </w:r>
    <w:r>
      <w:rPr>
        <w:rFonts w:hint="eastAsia"/>
        <w:szCs w:val="21"/>
      </w:rPr>
      <w:t>5</w:t>
    </w:r>
    <w:r>
      <w:rPr>
        <w:szCs w:val="21"/>
      </w:rPr>
      <w:t>/0</w:t>
    </w:r>
    <w:r>
      <w:rPr>
        <w:rFonts w:hint="eastAsia"/>
        <w:szCs w:val="21"/>
        <w:lang w:val="en-US" w:eastAsia="zh-CN"/>
      </w:rPr>
      <w:t>6.0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94F"/>
    <w:rsid w:val="000354AC"/>
    <w:rsid w:val="000634C0"/>
    <w:rsid w:val="00067797"/>
    <w:rsid w:val="0014795C"/>
    <w:rsid w:val="0019094F"/>
    <w:rsid w:val="00197AFC"/>
    <w:rsid w:val="001D4256"/>
    <w:rsid w:val="002059E1"/>
    <w:rsid w:val="00345EFC"/>
    <w:rsid w:val="003A1424"/>
    <w:rsid w:val="00414884"/>
    <w:rsid w:val="0047487F"/>
    <w:rsid w:val="004862A4"/>
    <w:rsid w:val="0058464A"/>
    <w:rsid w:val="00622F10"/>
    <w:rsid w:val="00652F37"/>
    <w:rsid w:val="00682D39"/>
    <w:rsid w:val="00733CB0"/>
    <w:rsid w:val="0085134E"/>
    <w:rsid w:val="008C34EE"/>
    <w:rsid w:val="008C51AC"/>
    <w:rsid w:val="008E1E9C"/>
    <w:rsid w:val="008F70AA"/>
    <w:rsid w:val="00915688"/>
    <w:rsid w:val="0098162E"/>
    <w:rsid w:val="00A646B2"/>
    <w:rsid w:val="00AE2B46"/>
    <w:rsid w:val="00B330C4"/>
    <w:rsid w:val="00BA6AD5"/>
    <w:rsid w:val="00BF2C5C"/>
    <w:rsid w:val="00C17869"/>
    <w:rsid w:val="00CC5728"/>
    <w:rsid w:val="00CD1D00"/>
    <w:rsid w:val="00D368C3"/>
    <w:rsid w:val="00D7413A"/>
    <w:rsid w:val="00DF427A"/>
    <w:rsid w:val="00E36A40"/>
    <w:rsid w:val="00E41BBF"/>
    <w:rsid w:val="00E47DA0"/>
    <w:rsid w:val="00F0726D"/>
    <w:rsid w:val="00FF7445"/>
    <w:rsid w:val="123C6602"/>
    <w:rsid w:val="1E847449"/>
    <w:rsid w:val="229A3777"/>
    <w:rsid w:val="340A35F7"/>
    <w:rsid w:val="3B770A3A"/>
    <w:rsid w:val="513303C7"/>
    <w:rsid w:val="79856E1E"/>
    <w:rsid w:val="7D57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222</Words>
  <Characters>1272</Characters>
  <Lines>10</Lines>
  <Paragraphs>2</Paragraphs>
  <TotalTime>31</TotalTime>
  <ScaleCrop>false</ScaleCrop>
  <LinksUpToDate>false</LinksUpToDate>
  <CharactersWithSpaces>1492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2012-05-06T08:29:00Z</dcterms:created>
  <dc:creator>张馨</dc:creator>
  <cp:lastModifiedBy>蒲公英</cp:lastModifiedBy>
  <dcterms:modified xsi:type="dcterms:W3CDTF">2021-10-09T01:31:38Z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D24C494372B94A1CBA8FC213EC7D0991</vt:lpwstr>
  </property>
</Properties>
</file>